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mobilizedResource</w:t>
            </w:r>
          </w:p>
        </w:tc>
        <w:tc>
          <w:tcPr>
            <w:tcW w:type="dxa" w:w="1984"/>
          </w:tcPr>
          <w:p>
            <w:r>
              <w:t>Ressource engagée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la ressource/du vecteur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([\w-]+\.){3,4}resource(\.[\w-]+){1,2})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partagé de la demande de ressource (si la ressource a été engagée suite à une demande de ressource), normé comme suit :</w:t>
              <w:br/>
              <w:t>{orgID}.request.{ID unique de la demande dans le système émetteur}</w:t>
              <w:br/>
              <w:t xml:space="preserve">OU - si un ID unique de la demande n'était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l'identifiant de l'organisation à laquelle appartient la ressource, normé comme suit : </w:t>
              <w:br/>
              <w:t>{pays}.{domaine}.{organisation}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ID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yype de ressource mobilisée : cf.nomenclature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plate</w:t>
            </w:r>
          </w:p>
        </w:tc>
        <w:tc>
          <w:tcPr>
            <w:tcW w:type="dxa" w:w="1984"/>
          </w:tcPr>
          <w:p>
            <w:r>
              <w:t>Immatriculation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n° d'immatriculation du vecteur</w:t>
            </w:r>
          </w:p>
        </w:tc>
        <w:tc>
          <w:tcPr>
            <w:tcW w:type="dxa" w:w="1701"/>
          </w:tcPr>
          <w:p>
            <w:r>
              <w:t>AB-123-CD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Etats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Objet qui permet de décrire l'historique des états connu du vecteur mobilisé - et à minima le dernier état connu.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Dernière géolocalisation du vecteur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la dernière géolocalisation connue d'un vecteur, au moment de la création du RS-RI.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contact du vecteur mobilisé.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SMUR 1</w:t>
            </w:r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longitude du point clé de la localisation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l'altitude du point clé de la localisation, en mètre,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heading</w:t>
            </w:r>
          </w:p>
        </w:tc>
        <w:tc>
          <w:tcPr>
            <w:tcW w:type="dxa" w:w="1984"/>
          </w:tcPr>
          <w:p>
            <w:r>
              <w:t>Cap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km/h (notamment fournie par eCall, tel, nouveau AML)</w:t>
            </w:r>
          </w:p>
        </w:tc>
        <w:tc>
          <w:tcPr>
            <w:tcW w:type="dxa" w:w="1701"/>
          </w:tcPr>
          <w:p>
            <w:r>
              <w:t>34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niveau de précision des coordonnées fournies par le système emetteur. Cf. nomenclature associée.</w:t>
              <w:br/>
              <w:t>CITY=Précision à l'échelle de la ville, STREET=Précision à l'échelle de la rue, ADDRESS=Adresse précise, EXACT=Point coordonnée GPS exact, UNKNOWN=Précision de la localisation non évaluable par l'émetteur</w:t>
            </w:r>
          </w:p>
        </w:tc>
        <w:tc>
          <w:tcPr>
            <w:tcW w:type="dxa" w:w="1701"/>
          </w:tcPr>
          <w:p>
            <w:r>
              <w:t>EXACTE</w:t>
            </w:r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l'URI utilisée. Cf nomenclature associée.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de l'URI utilisée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87F0CD-6641-452E-AFFA-024FCE6C73D6}"/>
</file>

<file path=customXml/itemProps3.xml><?xml version="1.0" encoding="utf-8"?>
<ds:datastoreItem xmlns:ds="http://schemas.openxmlformats.org/officeDocument/2006/customXml" ds:itemID="{A94A5DE5-D7E5-458E-89DB-74F0EA928BB0}"/>
</file>

<file path=customXml/itemProps4.xml><?xml version="1.0" encoding="utf-8"?>
<ds:datastoreItem xmlns:ds="http://schemas.openxmlformats.org/officeDocument/2006/customXml" ds:itemID="{35C1BF46-591E-4423-BA2E-5E37346C34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